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24.03.2021, оставленным без изменения постановлением Девятого арбитражного апелляционного суда от 07.06.2021 и постановлением Арбитражного суда Московского округа от 25.10.2021, с компании в пользу общества взыскано 267 687 руб. 65 коп. неосновательного обогащения, 6957 руб. 31 коп. процентов за пользование чужими денежными средствами, в удовлетворении остальной части исковых требований отказано. В кассационной жалобе, поданной в Верховный Суд Российской Федерации, Киреев Н.В., ссылаясь на нарушение судами норм права, 2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 лизинга, проверив расчеты сальдо встречных обязательств, руководствуясь статьями 395, 421, 431, 1102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пришли к выводу о наличии на стороне компании неосновательного обогащения в размере 267 687 руб. 65 коп., подлежащего возврату с начислением процентов за пользование чужими денежными средствами. Суд округа поддержал выводы судов первой и апелляционной инстанций. Приведенные заявителем в кассационной жалобе доводы не подтверждают существенных нарушений судами норм материального и процессуального права, повлиявших на исход дела, а по существу свидетельствуют о несогласии с выводами судов по обстоятельствам спора,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Киреева Николая Валентиновича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