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09.02.2021, оставленным без изменения постановлением Третьего арбитражного апелляционного суда от 10.06.2021, иск удовлетворен. Постановлением Арбитражного суда Восточно-Сибирского округа от 11.11.2021 решение суда первой инстанции и постановление суда апелляционной инстанции отменены, дело направлено на новое рассмотрение в Арбитражный суд Красноярского края. В кассационной жалобе, поданной в Верховный Суд Российской Федерации, общество просит отменить указанные судебные акты как незаконные.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не установлено. Отменяя принятые по делу судебные акты, суд округа, руководствуясь статьями 196, 200 Гражданского кодекса Российской Федерации, признал верными выводы судов первой и апелляционной инстанций о том, что срок исковой давности по заявленному требованию не пропущен. Вместе с тем, поскольку судами первой и апелляционной инстанций не были исследованы и установлены все обстоятельства, входящие в предмет доказывания и имеющие существенное значение для правильного разрешения спора, суд округа направил дело на новое рассмотрение в суд первой инстанции.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«Свет»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