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07.02.2021, оставленным без изменения постановлением Второго арбитражного апелляционного суда от 17.05.2021, в удовлетворении иска отказано. Постановлением Арбитражного суда Волго-Вятского округа от 03.11.2021 решение суда первой инстанции и постановление суда апелляционной 2 инстанции отменены, дело направлено на новое рассмотрение в Арбитражный суд Ярославской области. В кассационной жалобе, поданной в Верховный Суд Российской Федерации, отдел, управление и министерство, ссылаясь на нарушение судом округа норм права, просят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 полном объеме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Ссылка заявителей на неправильное указание судом округа дат принятия решения судом первой инстанции и постановления судом апелляционной инстанции в резолютивной части постановления не является основанием для его отмены с учетом права заявителей на обращение в суд с заявлением в порядке статьи 179 Арбитражного процессуального кодекса Российской Федерации об исправлении опечатки.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3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Межмуниципального отдела Министерства внутренних дел Российской Федерации «Тутаевский», Управления Министерства внутренних дел Российской Федерации по Ярославской области и Министерства внутренних дел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