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11.02.2021 исковые требования удовлетворены. Постановлением Тринадцатого арбитражного апелляционного суда от 06.07.2021 решение суда первой инстанции изменено, с компании в пользу общества взыскано 30 300 руб. задолженности и 4412 руб. 51 коп. процентов, 1252 руб. расходов по уплате государственной пошлины, в удовлетворении остальной части требований отказано. Постановлением Арбитражного суда Северо-Западного округа от 28.10.2021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незаконность постановлений 2 апелляционного и окружного судов, просит их отменить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 в законную силу решением суда по делу № А56-50882/2020, в рамках которого с общества в пользу компании взыскана неустойка за нарушение срока выполнения работ по договору от 22.06.2018 № 3108, учитывая отсутствие надлежащего результата работ, акта сдачи-приемки работ по данному договору, руководствуясь статьями 309, 310, 711, 753 Гражданского кодекса Российской Федерации, суд апелляционной инстанции не усмотрел оснований для удовлетворения требования общества о взыскании с компании задолженности и процентов по названному договору. Суд округа поддержал выводы суда апелляционной инстанции. Доводы кассационной жалобы не опровергают выводы судов апелляционной инстанции и округа,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«Диметра»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