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06.04.2021, оставленным без изменения постановлением Одиннадцатого арбитражного апелляционного суда от 05.08.2021 и постановлением Арбитражного суда Поволжского округа от 11.11.2021, с товарищества в пользу общества взыскано 1 066 615 руб. 84 коп. долга, 120 422 руб. 97 коп. процентов, 9539 руб. расходов на представителя, 10 323 руб. 28 коп. расходов по уплате государственной пошлины, 237 руб. 14 коп. почтовых расходов, в удовлетворении остальной 2 части первоначальных исковых требований и в удовлетворении встречных требований отказано. В кассационной жалобе, поданной в Верховный Суд Российской Федерации, общество, выражая несогласие с выводами судов в части отказа в удовлетворении первоначальных требований, просит отменить указанные судебные акты как принятые с нарушением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признав подтвержденным факт наличия у товарищества задолженности за выполненные обществом работы, определив ее размер, в том числе с учетом заключения судебной экспертизы и произведенной товариществом оплаты, принимая во внимание просрочку оплаты выполненных работ, руководствуясь статьями 309, 310, 395, 702 Гражданского кодекса Российской Федерации, суды первой и апелляционной инстанций частично удовлетворили первоначальные исковые требования. Признав доказанным факт несения обществом судебных расходов в заявленном размере, руководствуясь статьями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характер спора, степень сложности дела, среднерыночные расценки региона, взимаемые за аналогичные услуги, исходя из принципов разумности и пропорциональности, суды взыскали с товарищества в пользу общества 9539 руб. 34 коп. расходов на оплату услуг представителя. Суд округа поддержал выводы судов первой и апелляционной инстанций. Изложенные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по сути, свидетельствуют о несогласии заявителя с оценкой доказательств, данной судами, и установленными фактическими обстоятельствами дела, что не может служить достаточным основанием для пересмотра обжалуемых судебных актов в кассационном порядке Судебной коллегией Верховного Суда Российской Федерации.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«Регионгазсервис»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