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07.05.2021, оставленным без изменения постановлением Восемнадцатого арбитражного апелляционного суда от 09.07.2021 и постановлением Арбитражного суда Уральского округа от 13.12.2021, в удовлетворении иска отказано. В кассационной жалобе, поданной в Верховный Суд Российской Федерации, фонд, ссылаясь на нарушение судами норм права, просит отменить указанные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отказывая в иске, суды первой и апелляционной инстанций, с которыми впоследствии согласился суд округа, руководствовались статьями 15, 393, 702, 720, 761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недоказанности истцом наличия совокупности условий, необходимых для взыскания с ответчика убытков.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некоммерческой организации Фонд развития жилищного строительства Республики Башкортостан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