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Алтайского края от 11.03.2021, оставленным без изменения постановлением Седьмого арбитражного апелляционного суда от 06.07.2021 и постановлением Арбитражного суда Западно-Сибирского округа от 26.10.2021, первоначальные и встречные исковые требования удовлетворены, произведен зачет удовлетворенных требований. В кассационной жалобе, поданной в Верховный Суд Российской Федерации, общество, выражая несогласие с выводами судов в части взыскания 2 с него штрафа и пеней за неустранение недостатков, просит отменить указанные судебные акты в данной части как незаконные.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заключенного сторонами договора, установив факт поставки обществом (поставщик) товара ненадлежащего качества, непринятия им мер для устранения недостатков, которые устранены водоканалом (покупатель) с привлечением сторонней организации, руководствуясь статьями 330, 431, 469, 475, 476 Гражданского кодекса Российской Федерации, признали обоснованными требования водоканала о взыскании с общества штрафа за поставку товара ненадлежащего качества и пеней за неустранение выявленных недостатков.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«Элтера»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