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28.07.2021, оставленным без изменения постановлением Девятого арбитражного апелляционного суда от 14.09.2021 и постановлением Арбитражного суда Московского округа от 24.11.2021, заявление ответчика о взыскании с истца 14 184 рублей судебных расходов удовлетворено. В кассационной жалобе общество «ЭНКОСТ» просит о пересмотре судебных актов, ссылаясь на отсутствие надлежащих доказательств необходимости несения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110, 112 Арбитражного процессуального кодекса Российской, обстоятельствам дела и судебной практике возмещения судебных издержек. Доводы, связанные с доказательной стороной требования,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«ЭНКОСТ»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