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17.05.2021, оставленным без изменения постановлением Девятого арбитражного апелляционного суда от 10.08.2021 и постановлением Арбитражного суда Московского округа от 02.11.2021, в удовлетворении первоначального иска отказано, встречный иск удовлетворен. 2 В кассационной жалобе, поданной в Верховный Суд Российской Федерации, общество, ссылаясь на незаконность указанных судебных актов, просит их отменить и принять по делу новый судебный акт об удовлетворении первоначального иска и отказе в удовлетворении встречных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ненадлежащего исполнения обществом (покупатель) обязательства по поставке компании (покупатель) частично оплаченного товара по спорному договору, признав правомерным отказ компании от договора, руководствуясь статьями 309, 310, 395, 421, 422, 453, 454, 456, 484, 506, 514, 516 Гражданского кодекса Российской Федерации, суды первой и апелляционной инстанций пришли к выводу о необоснованности первоначального иска и наличии оснований для удовлетворения встречного иска, с чем впоследствии согласился суд округа. Доводы кассационной жалобы не опровергают выводы судов,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«А-сервис ДСТ»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