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недействительной сделки по зачёту взаимных требований на общую сумму 2 020 684 рублей 35 копеек, заключенную должником и обществом, оформленную уведомлением от 04.05.2018; применении последствий недействительности сделки. Определением Арбитражного суда Вологодской области от 22.04.2019, оставленным без изменения постановлениями Четырнадцатого арбитражного апелляционного суда от 08.07.2019 и Арбитражного суда Северо-Западного округа от 18.09.2019,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61.4, 61.6, 61.8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сделки после принятия заявления о признании должника банкротом за пределами обычной хозяйственной деятельности должника и при наличии у последнего признаков несостоятельности, указав на следствие данной сделки – предпочтительное удовлетворение требований общества перед требованиями других кредиторов должника, при этом верно применив последствия её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Антром»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