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06.07.2021, оставленным без изменения постановлением Тринадцатого арбитражного апелляционного суда от 27.09.2021 и постановлением Арбитражного суда Северо-Западного округа от 23.12.2021,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распоряжения от 27.01.2021 № 90 комитетом 03.02.2021 проведена внеплановая выездная проверка в отношении общества в целях установления факта выполнения ранее выданного предписания от 21.02.2020 № 129. По результатам проверки комитетом составлен акт от 16.02.2021 № 90 и выдано предписание от 16.02.2021 № 90, согласно которому установлено, что со стороны заднего фасада, а также с боковых сторон многоквартирного дома наблюдается разрушение бетонного основания козырьков и повреждение отделочного слоя цоколя, мер по восстановлению целостности перекрытий не принимается; управляющей организации предписано провести работы по устранению нарушений пунктов 4.2.4.2 и 4.2.3.4 Правил и норм технической эксплуатации жилищного фонда, утвержденных постановлением Федерального агентства по строительству и жилищно-коммунальному хозяйству от 27.09.2003 № 170 (далее - Правила № 170) в срок до 16.08.2021. Не согласившись с предписанием комитета, общество обратилось в арбитражный суд. Отказывая в удовлетворении заявления, суды, оценив представленные в материалы дела доказательства, руководствуясь положениями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Минимальным перечнем услуг и работ, необходимых для обеспечения надлежащего содержания общего имущества в многоквартирном доме, утвержденным постановлением Правительства Российской Федерации от 03.04.2013 № 290, Правилами № 170, пришли к выводу о том, что вынесенное комитетом предписание является законным и не нарушает права и интересы общества. Судебные инстанции исходили из того, что общество, осуществляющее деятельность по управлению многоквартирным домом, допустило нарушение требований жилищного законодательства, выразившееся в ненадлежащем содержании общего имущества, отметив, что спорные работы относятся к основным работам по текущему ремонту и должны производиться обществом по мере их обнаружения. При должном систематическом осмотре дома и надлежащем исполнении возложенных обязанностей по надлежащему содержанию общего имущества дома с 2011 года, у общества имелась 3 возможность своевременно выявить нарушения, принять меры по их устранению с учетом того, что выданное предписание является повторным. Доводы, изложенные в кассационной жалобе, в том числе о том, что нарушения, отраженные в предписании подлежат устранению только в процессе осуществления капитального ремонта фасада, повторяют позицию общества по спору, которая являлась предметом рассмотрения судов и получила надлежащую правовую оценку, не опровергают выводы судов и не свидетельствуют о существенном нарушении норм материального и процессуального права, повлиявшем на исход дела, основаны на ином толковании действующего законодательства, что не может быть признано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«ВИРА 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