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современного бизнеса» удовлетворить. Срок подачи кассационной жалобы на решение Арбитражного суда города Москвы от 02.04.2021, постановление Девятого арбитражного апелляционного суда от 28.05.2021 и постановление Арбитражного суда Московского округа от 22.10.2021 по делу № А40-100185/2020 восстановить.Судья Верховного Суда Российской Федерации Н.С. Чучунова Суд: Верховный Суд РФ (подробнее) Истцы: ООО "УПРАВЛЯЮЩАЯ КОМПАНИЯ СОВРЕМЕННОГО БИЗНЕСА" (подробнее) Ответчики: ООО "ЭЛИТ-ПРОФИТ"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