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29.04.2021, оставленным без изменения постановлениями Девятого арбитражного апелляционного суда от 21.07.2021 и Арбитражного суда Московского округа от 01.12.2021, исковые требования удовлетворены частично, расторгнут договор от 04.09.2013 № 650/13, с общества в пользу предприятия взысканы неосновательное обогащение в размере 7 454 402 рублей 76 копеек, неустойка в сумме 2 1 135 045 рублей 80 копеек, штраф в размере 1 063 380 рублей 54 копеек. В удовлетворении остальной части иска отказано. В кассационной жалобе, поданной в Верховный Суд Российской Федерации, общество ставит вопрос об отмене принятых по делу судебных актов в части удовлетворения иска, ссылаясь на существенное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предприятием (заказчик) и обществом (подрядчик) заключен договор на выполнение проектно-изыскательских работ. Ссылаясь на невыполнение обществом работ по договору, отсутствие положительного заключения государственной экспертизы, предприятие обратилось в арбитражный суд с требованиями о расторжении договора и взыскании неотработанного аванса, неустойки, штрафа, а также о признании акта сдачи-приемки выполненных работ от 11.05.2016 утратившим силу. Исследовав и оценив представленные в материалы дела доказательства, суд первой инстанции, руководствуясь положениями статей 309, 310, 330, 450, 452, 702, 708, 758, 763, 1102 Гражданского кодекса Российской Федерации, пришел к выводу о наличии оснований для удовлетворения требований предприятия в части расторжения договора, взыскания неосновательного обогащения, неустойки и штрафа. Суд исходил из невыполнения подрядчиком своих обязательств по договору. При исследовании обстоятельств дела установлено, что акт от 11.05.2016 не является доказательством надлежащего выполнения работ по договору; документация, разработанная обществом, не получила положительное заключение государственной экспертизы, что свидетельствует о том, что работы подрядчиком выполнены не с надлежащим качеством и не подлежат окончательной приемке; с момента выдачи последнего отрицательного заключения прошло 3,5 года, что свидетельствует о существенном нарушении обществом сроков выполнения работ по договору; несмотря на три отрицательных заключения государственной экспертизы, подрядчик не устранил нарушения в проектной документации; подрядчиком на момент 3 рассмотрения спора не исполнены обязательства по договору, в связи с чем заказчик утратил интерес в его дальнейшем исполнении; поскольку результат работ по договору не достигнут, с момента расторжения договора у общества отсутствуют правовые основания для удержания денежных средств, перечисленных ему в качестве предварительной оплаты работ; представленный предприятием расчет неустойки является верным; отсутствует двойное привлечение к ответственности, поскольку подрядчику вменялись различные нарушения условий договора. Отказывая в удовлетворении требования о признании утратившим силу акта сдачи-приемки выполненных работ от 11.05.2016, суд первой инстанции исходил из того, что избранный способ защиты в случае удовлетворения требования не приведет к восстановлению нарушенных или оспариваемых прав предприятия. Суды апелляционной инстанции и округа согласились с выводами суда первой инстанции. Доводы общества являлись предметом рассмотрения судов, получили надлежащую правовую оценку с учетом установленных обстоятельств дела и мотивированно отклонены, сводятся к несогласию с установленными судами фактическими обстоятельствами дела и направлены на их переоценку, не подтверждают существенные нарушения норм материального и (или) процессуального права, которые могли повлиять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«Аэросвет»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