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учредитель и акционер Гогичаева Э.Э. обратилась в суд с заявлением о намерении погасить все требования реестровых кредиторов должника путём перечисления денежных средств на специальный банковский счет должника в течение двадцати дней с даты вынесения арбитражным судом соответствующего определения. Определением Арбитражного суда Республики Северная Осетия – Алания от 13.09.2021, оставленным без изменения постановлением Шестнадцатого арбитражного апелляционного суда от 29.11.2021,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Исходя из доводов кассационной жалобы заявитель не согласна с обжалуемыми судебными актами в части установленной судами суммы погашения требования кредиторов.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 и определяя подлежащую погашению заявителем сумму, суды первой и апелляционной инстанции, руководствуясь статьями 16, 113, 125 Федерального закона от 26.10.2002 № 127-ФЗ «О несостоятельности (банкротстве)», исходили из того, что она не может быть меньше всей суммы включенных в реестр требований кредиторов должника; возможность выборочного погашения требований или исключения каких – либо требований из данной суммы законодательством о банкротстве не предусмотрена. Выводы суды первой и апелляционной инстанции соответствуют нормам права, оснований для переоценки этих выводов не имеется. Несогласие заявителя с выводами судов первой и апелляционной инстанции,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Гогичаевой Элине Эдуардовне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