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обратился в суд с заявлением о признании недействительной сделкой зачёта встречных требований на сумму 13 376 060 рублей 70 копеек, произведенного на основании уведомления акционерного общества «Газпром добыча Томск» (далее – заказчик) от 22.11.2019 № 01/5026. Определением Арбитражного суда Томской области от 05.07.2021, оставленным без изменения постановлениями Седьмого арбитражного апелляционного суда от 27.09.2021 и Арбитражного суда Западно-Сибирского округа от 07.12.2021,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об удовлетворении заявления или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61.1, 61.3, 61.4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не установили оснований для признания недействительной оспариваемой сделки, направленной на перерасчёт итогового сальдо в связи с выявленными в выполненных должником работах дефектами, не повлекшей оказания заказчику предпочтения. Выводы суды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закрытым акционерным обществом «Энергетик» Прохорову Денису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