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Псковской области от 29.04.2021, оставленным без изменения постановлением Четырнадцатого арбитражного апелляционного суда от 02.08.2021 и постановлением Арбитражного суда Северо-Западного округа от 28.10.2021, в удовлетворении заявленных требований отказано. В кассационной жалобе Комитет, ссылаясь на нарушение норм материального права, несоответствие выводов фактическим обстоятельствам дела, просит обжалуемые судебные акты отменить полностью и принять по делу новый судебный акт об удовлетворении заявленных требований Комитета об аннулировании лицензии на осуществление розничной продажи алкогольной 2 продукции ООО «Сомелье». В соответствии с пунктом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ее передаче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общество на основании выданной ему Комитетом лицензии сроком действия до 26.12.2021 осуществляло розничную продажу алкогольной продукции при оказании услуг общественного питания в кафе по четырем адресам. В связи с поступившим из УМВД России по Псковской области письмом о выявлении в одном из принадлежащих ООО «Сомелье» кафе трех бутылок водки с признаками поддельных федеральных специальных марок, Комитет издал приказ от 22.01.2021 № 47 о направлении в суд заявления об аннулировании лицензии и о приостановлении действия лицензии до дня вступления в законную силу решения суда. Отказывая в удовлетворении заявленного Комитетом требования об аннулировании лицензии, суды, руководствуясь положениями статей 12, 20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исходили из того, что установленное в действиях общества нарушение не является соразмерной мерой наказания за совершенное им правонарушение. Судами принято во внимание, что выявленное нарушение имеет однократный характер, доказательства того, что общество ранее привлекалось в административной ответственности, в материалы дела не предъявлены, Комитет не располагает сведениями о совершении обществом в предыдущие периоды каких-либо нарушений в области оборота алкогольной продукции, а 3 также о наличии жалоб от потребителей на деятельность общества. Доводы жалобы о недопустимости применения понятия малозначительности правонарушения применительно к вопросу об обороте алкогольной продукции, об установлении мер ответственности за соответствующие правонарушения вне зависимости от объема реализуемой продукции, наличия, либо размера причиненного вреда, тяжести наступивших последствий, как и иные доводы не опровергают выводы судов, не подтверждают существенных нарушений судами норм материального и (или)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в силу статей 2916, 29111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по экономическому развитию и инвестиционной политике Псковской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