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с ограниченной ответственностью «Игнис» обратился в суд с жалобой на действия (бездействие) конкурсного управляющего должником Тимофеевой Елены Богдановны, отстранении от исполнения возложенных на неё обязанностей. Определением Арбитражного суда Московской области от 13.11.2020, оставленным без изменения постановлениями Десятого арбитражного апелляционного суда от 04.08.2021 и Арбитражного суда Московского округа от 26.10.2021,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129, 145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доказанности наличия в оспариваемых действиях (бездействии) конкурсного управляющего по ненадлежащему ведению реестра требований кредиторов должника, не обеспечению обязательной явки в судебные заседания для необходимости представления правовой позиции, заключению сделок с заинтересованными лицами в отсутствие одобрения кредиторов, реализации на торгах имущества должника в обход принятых судом обеспечительных мер вменяемых нарушений законодательства о несостоятельности, нарушений прав должника и его конкурсных кредиторов. Ввиду названных обстоятельств и существенности допущенных нарушений, суды пришли к выводу о наличии оснований для отстранения конкурсного управляющего от исполнения возложенных на него обязанностей.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Цептер Анне Семёновне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