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Кашапова С.С. обратилась в суд с возражением на результаты рассмотрения конкурсным управляющим банком государственной корпорации «Агентство по страхованию вкладов» её требования о включении в первую очередь реестра требований кредиторов должника (далее – реестр) в размере 725 699 рублей 43 копеек. Определением Арбитражного суда Республики Татарстан от 23.06.2021, оставленным без изменения постановлениями Одиннадцатого арбитражного апелляционного суда от 26.08.2021 и Арбитражного суда Поволжского округа от 12.11.2021, возражение признано необоснованным и в удовлетворении требования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требования.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71, 100, 189.85, 189.96 Федерального закона от 26.10.2002 № 127-ФЗ «О несостоятельности (банкротстве)», исходили из отсутствия объективных и уважительных причин для несвоевременного предъявления заявителем своего требования, подлежащего удовлетворению за счёт имущества, оставшегося после удовлетворения своевременно предъявленных требований реестровых кредиторов первой очереди, в связи с чем признали возражение необоснованным. Выводы судов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Кашаповой Сагадат Сахабутдиновне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