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03.06.2021, оставленным без изменения постановлениями Четвертого арбитражного апелляционного суда от 25.08.2021 и Арбитражного суда Восточно-Сибирского округа от 26.11.2021, в удовлетворении заявления отказано. 2 В кассационной жалобе предприниматель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приняты решения об одностороннем отказе от исполнения государственных контрактов на поставку мебели в образовательные учреждения Республики Саха (Якутия). Указанные обстоятельства послужили основанием для обращения заказчика в антимонопольный орган с заявлениями о включении в реестр недобросовестных поставщиков сведений о предпринимателе. По результатам рассмотрения представленных сведений управлением вынесены оспариваемые решения о включении сведений в отношении предпринимателя в реестр недобросовестных поставщиков. Исследовав и оценив представленные в материалы дела доказательства, в том числе контракты, переписку сторон после истечения срока исполнения предпринимателем обязательств по контрактам, руководствуясь положениями статей 523, 525, 526 Гражданского кодекса Российской Федерации,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том, что ненормативные правовые акты антимонопольного органа соответствуют действующему законодательству и не нарушают права и законные интересы заявителя. Судебные инстанции исходили из наличия оснований для включения информации о предпринимателе в реестр недобросовестных поставщиков в связи с признанием правомерным одностороннего отказа заказчика от исполнения контрактов по причине неисполнения предпринимателем обязательств по поставке мебели. При исследовании обстоятельств дела установлен факт ненадлежащего исполнения предпринимателем условий государственных контрактов, а также 3 отсутствие объективных обстоятельств, препятствующих своевременной поставке товара; до и после истечения установленных государственными контрактами сроков поставки вплоть до принятия заказчиком решений об одностороннем отказе от исполнения контрактов предпринимателем поставка товара не осуществлена; после получения уведомлений заказчика о принятых решениях нарушение условий контрактов также не устранено. Доводы предпринимателя, изложенные в кассационной жалобе,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дела, в связи с чем не могут служить достаточным основанием для пересмотра судебных актов в кассационном порядке.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Максименко Надежде Прокофьевне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