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24.12.2020, оставленным без изменения постановлениями Двадцатого арбитражного апелляционного суда от 12.07.2021 и Арбитражного суда Центрального округа от 27.10.2021, в удовлетворении заявления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по всем налогам и сборам за период с 01.01.2016 по 15.01.2019 инспекцией вынесено оспариваемое решение, которым обществу доначислены налог на прибыль и НДС, начислены соответствующие суммы пеней и штрафы. Определяя суммы налогов, подлежащих уплате налогоплательщиком, расчетным путем на основании имеющейся информации об аналогичных налогоплательщиках, инспекция исходила из непредставления обществом в ходе налоговой проверки всех первичных учетных, бухгалтерских и иных документов, позволяющих произвести соответствующие действия по осуществлению мероприятий налогового контроля и определению реальных налоговых обязательств общества. Решением управления от 05.03.2020, вынесенным по результатам рассмотрения жалобы общества, решение налогового органа отменено в части привлечения к налоговой ответственности, предусмотренной пунктом 1 статьи 126 Налогового кодекса Российской Федерации (далее - Налоговый кодекс), в виде штрафа в размере 7 000 рублей. В остальной части решение инспекции оставлено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31, 146, 154, 171, 247, 252 Налогового кодекса, разъяснениями Пленума Высшего Арбитражного Суда Российской Федерации, изложенными в пункте 8 постановления от 30.07.2013 № 57 «О некоторых вопросах, возникающих при применении арбитражными судами части первой Налогового кодекса Российской Федерации», суды пришли к выводу об отсутствии оснований для удовлетворения заявленных требований. Судебные инстанции исходили из правомерного определения инспекцией размера налоговых обязательств общества при отсутствии доказательств их несоответствия фактическим условиям экономической деятельности налогоплательщика. При этом суды отметили, что необходимость определения налоговых обязательств общества расчетным путем обусловлена бездействием общества, не представившего первичные и иные документы для проверки правильности исчисления и своевременности уплаты налогов; контррасчет со ссылками на первичные бухгалтерские документы, как и сами документы, налогоплательщиком при рассмотрении настоящего спора не представлены. 3 Доводы налогоплательщика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компаний «ПИК»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