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01.04.2021, оставленным без изменения постановлениями Тринадцатого арбитражного апелляционного суда от 28.07.2021 и Арбитражного суда Северо-Западного округа от 13.12.2021, заявленное требование удовлетворено. В кассационной жалобе управление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учреждения (заказчик) при проведении запроса котировок в электронной форме на выполнение работ по созданию систем автоматической пожарной сигнализации, оповещения и управления эвакуацией людей при пожаре в здании, выразившиеся в неправомерном установлении требования к участникам о наличии членства в саморегулируемой организации (далее – СРО) с предоставлением выписки из реестра членов СРО, антимонопольным органом принято решение. Решением управления жалоба общества признана обоснованной, в действиях заказчика установлено нарушение пункта 2 части 1 статьи 3, части 10 статьи 3.2 Федерального закона от 18.07.2011 № 223-ФЗ «О закупках товаров, работ, услуг отдельными видами юридических лиц» (далее – Закон о закупках). Не согласившись с ненормативным правовым актом управления, учреждение обратилось в арбитражный суд с требованием о признании его недействительным. Исследовав и оценив представленные в материалы дела доказательства, руководствуясь положениями Градостроительного кодекса Российской Федерации, Закона о закупках, правовой позицией, изложенной в пункте 6 Обзора судебной практики по вопросам, связанным с применением Закона о закупках, утвержденного Президиумом Верховного Суда Российской Федерации 16.05.2018, суды пришли к выводу о несоответствии решения антимонопольного органа нормам действующего законодательства, нарушении прав и интересов учреждения. Судебные инстанции исходили из отсутствия в действиях учреждения вмененных нарушений, поскольку предъявление такого требования к участникам закупки, как членство в СРО, с учетом начальной (максимальной) цены работ соответствует целям и потребностям закупки и не противоречит законодательству. Доводы, изложенные в кассационной жалобе, повторяют позицию управления по спору, не опровергают выводы судов, сделанные на основании 3 правильного применения норм права к установленным обстоятельствам дела, не свидетельствуют о допущенной при рассмотрении дела судебной ошибке,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