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- общество с ограниченной ответственностью «Игнис» обратился в суд с жалобой на действия (бездействие) конкурсного управляющего должником Тимофеевой Елены Богдановны. Определением Арбитражного суда Московской области от 21.04.2021, оставленным без изменения постановлениями Десятого арбитражного апелляционного суда от 04.08.2021 и Арбитражного суда Московского округа от 26.10.2021, жалоба удовлетворена.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60, 71, 129, 201.5 Федерального закона от 26.10.2002 № 127-ФЗ «О несостоятельности (банкротстве)», исходили из того, что конкретные действия управляющего по включению в реестр требований кредиторов должника денежных требований обществ с ограниченной ответственностью «Флагман-Инвест» и «Центрстройсервис-Инвест» не соответствовали требованиям законодательства о банкротстве, привели к нарушению прав и законных интересов иных кредиторов должника, в связи с чем признали жалобу обоснованной. Выводы судов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Цептер Анне Семёновне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