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Красноярского края от 08.06.2021 в удовлетворении заявленных требований отказано. Постановлением Третьего арбитражного апелляционного суда от 07.10.2021 решение суда первой инстанции отменено, по делу принят новый судебный акт об удовлетворении требований. 2 Постановлением Арбитражного суда Восточно-Сибирского округа от 27.12.2021 постановление суда апелляционной инстанции отменено, решение суда первой инстанции оставлено в силе. Общество обратилось в Верховный Суд Российской Федерации с кассационной жалобой, в которой просит постановление суда округа отменить, постановление суда апелляционной инстанции оставить в силе.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жалобы и принятых по делу судебных актов таких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Частью 1 статьи 16.2 Кодекса Российской Федерации об административных правонарушениях установлена ответственность за недекларирование по установленной форме товаров, подлежащих таможенному декларированию, за исключением случаев, предусмотренных статьей 16.4 настоящего Кодекса. Отменяя постановление суда апелляционной инстанции и оставляя в силе решение суда первой инстанции, суд округа руководствовался положениями статей 19, 84, 104, 106 Таможенного кодекса Евразийского экономического союза, разъяснениями, изложенными в пункте 30 постановления Пленума Верховного Суда Российской Федерации от 24.10.2006 № 18 «О некоторых вопросах, возникающих у судов при применении особенной части Кодекса Российской Федерации об административных правонарушениях», пункте 27 3 Обзора судебной практики Верховного Суда Российской Федерации № 1 (2018), утвержденного Президиумом Верховного Суда Российской Федерации 28.03.2018, и исходил из установленных судом первой инстанции обстоятельств, свидетельствующих о факте недекларирования обществом по установленной форме части самостоятельного товара, подлежащего таможенному декларированию (его количественных характеристик), без учета которых суд апелляционной инстанции признал постановление по делу об административном правонарушении незаконным и отменил его. Обжалуя судебные акты в Верховный Суд Российской Федерации, общество приводит доводы, которые являлись предметом рассмотрения судов первой и кассационной инстанций и получили надлежащую правовую оценку применительно к установленным фактическим обстоятельствам дела, связанным с совершением обществом вмененного правонарушения и с соблюдением административным органом порядка проведения проверки и привлечения общества к административной ответственности. Несогласие общества с установленными судами фактическими обстоятельствами дела и оценкой доказательств в силу статьи 2916 Арбитражного процессуального кодекса Российской Федерации не свидетельствует о наличии оснований для пересмотра обжалуемого судебного акта в порядке кассационного производства. На основании изложенного и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4</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