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14.04.2021, оставленным без изменения постановлением Семнадцатого арбитражного 2 апелляционного суда от 17.06.2021, в удовлетворении заявленных требований отказано. Арбитражный суд Уральского округа постановлением от 27.10.2021 оставил без изменения судебные акты судов первой и апелляционной инстанций. Общество обратилось в Верховный Суд Российской Федерации с кассационной жалобой, в которой выражает несогласие с мотивировочной частью принятых судебных актов.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следует из судебных актов, установив факт реализации обществом товара, подлежащего обязательному подтверждению соответствия, без указания в сопроводительной документации сведений об имеющемся сертификате соответствия или декларации о соответствии, а также в реализации указанного товара с недействительным сертификатом, административный орган составил протокол об административных правонарушениях, ответственность за которые предусмотрены частью 2 статьи 14.43, статьей 14.45 КоАП РФ, на основании которого обратился в арбитражный суд с заявлением о привлечении общества к административной ответственности. 3 Суды первой и апелляционной инстанций отказали в удовлетворении заявленных требований исходя из недоказанности административным органом состава вменяемых правонарушений. Суд кассационной инстанции, отказывая в удовлетворении кассационной жалобы административного органа, согласился с доводами кассационной жалобы о том, что судами недостаточно был обоснован вывод о недоказанности вины общества в совершенных административных правонарушениях. Вместе с тем, исходя из истечения срока давности привлечения к административной ответственности на момент рассмотрения кассационной жалобы, не нашел оснований для отмены состоявшихся судебных актов. В своей жалобе общество приводит доводы об отсутствии события правонарушения, предусмотренного частью 2 статьи 14.43 КоАП РФ, со ссылкой на судебные акты по делам № А46-9856/2021 и № А32-13866/2021. Между тем, приведенные в жалобе доводы не могут быть признаны основанием для пересмотра обжалуемых судебных актов в кассационном порядке, поскольку суды отказали в удовлетворении требований о привлечении общества к административной ответственности. Сложившийся к настоящему времени правовой результат по делу совпадает с тем результатом, которого добивался заявитель, из доводов жалобы не следует, чем в рассматриваемом случае нарушены права общества и заявитель не указывает, какой защите они подлежат. Других доводов, свидетельствующих о существенном нарушении судами норм материального права и норм процессуального права, в кассационной жалобе не содержится.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4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