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«ЦББ «Пачоли» срок подачи кассационной жалобы на решение Арбитражного суда Челябинской области от 23.06.2021 по делу № А76-434/2021, постановление Восемнадцатого арбитражного апелляционного суда от 31.08.2021 и постановление Арбитражного суда Уральского округа от 07.12.2021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