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09.02.2021, оставленным без изменения постановлением Четвертого арбитражного апелляционного суда от 27.05.2021, в удовлетворении заявленных требований отказано. Арбитражный суд Восточно-Сибирского округа постановлением от 27.10.2021 оставил без изменения указанные судебные акты. Общество обратилось в Верховный Суд Российской Федерации с кассационной жалобой и дополнением к ней, в которых просит отменить судебные акты судов, ссылаясь на нарушения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3 Основания для пересмотра судебных актов в кассационном порядке по доводам жалобы и дополнения к ней отсутствуют. Как следует из судебных актов, согласно оспариваемому решению инспекции налогоплательщик привлечен к ответственности за совершение налогового правонарушения, ему доначислены суммы налога на добавленную стоимость, налога на прибыль, пени, а также штрафы. Суды, руководствуясь положениями статей 31, 54.1, 86, 93.1, 247, 248, 249, 252, 271 Налогового кодекса Российской Федерации, статьи 9 Федерального закона от 06.12.2011 № 402-ФЗ «О бухгалтерском учете», а также разъяснениями, изложенными в постановлениях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от 30.07.2013 № 57 «О некоторых вопросах, возникающих при применении арбитражными судами части первой Налогового кодекса Российской Федерации», признали обоснованными выводы налогового органа о создании налогоплательщиком схемы «дробления» бизнеса с использованием взаимозависимых лиц ООО «Даюнг» и ООО «Унгум», применяющих специальный режим налогообложения УСН, через которых налогоплательщик осуществлял реализацию горюче-смазочных материалов. Доводы, изложенные в кассационной жалобе общества, являлись предметом рассмотрения судов и получили исчерпывающую правовую оценку. Приведенные в жалобе доводы со ссылкой на судебную практику выводы судов не опровергают, направлены на переоценку исследованных судами доказательств и установление иных фактических обстоятельств по делу, что в силу статьи 291.6 Арбитражного процессуального кодекса Российской Федерации в полномочия кассационной инстанции Верховного Суда Российской Федерации не входит. Ссылки заявителя на взаимосвязь рассматриваемого дела с делом № А10-8173/2019 не является основанием для отмены принятых судебных актов. 4 Существенных нарушений норм материального права и (или) норм процессуального права, повлиявших на исход дела,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