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 отпуска, пребывания на учебе, нахождения в служебной командировке. Как разъяснено в пункте 3.7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оснований для замены, предусмотренных частью 3 статьи 18 Арбитражного процессуального кодекса Российской Федерации, 2 определение о замене судьи выносится председателем судебного состава (председателем судебной коллегии, председателем арбитражного суда) без проведения судебного заседания. В связи с длительным отсутствием судьи Иваненко Ю.Г. по причине болезни кассационную жалобу следует передать другому судье. На основании изложенного, руководствуясь статьями 18, 184 Арбитражного процессуального кодекса Российской Федерации, исполняющий обязанности председателя судебного состава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произвести замену судьи Иваненко Ю.Г. на судью Першутова А.Г. по кассационному производству № 307-ЭС21-29452. И.о. председателя 3 судебного состава, Д.В. Тютин судья Верховного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