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11.05.2021, оставленным без изменения постановлением Седьмого арбитражного апелляционного суда от 13.07.2021, оспариваемое постановление изменено, размер административного штрафа снижен до 150 000 рублей. Арбитражный суд Западно-Сибирского округа постановлением от 03.11.2021 оставил без изменения указанные судебные акты. Общество обратилось в Верховный Суд Российской Федерации с кассационной жалобой, в которой просит отменить принятые судебные акты судов, ссылаясь на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судебных актов, основанием для привлечения к ответственности послужил выявленный административным органом факт осуществления обществом регулярных перевозок пассажиров по межрегиональному маршруту в отсутствие карты маршрута регулярных перевозок, наличие которой является обязательным. 3 Частью 4 статьи 11.33 КоАП РФ предусмотрена административная ответственность за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Оценив представленные доказательства, руководствовался положениями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суды пришли к выводу о наличии в действиях общества состава правонарушения, ответственность за совершение которого предусмотрена частью 4 статьи 11.33 КоАП РФ. Процедура и срок давности привлечения к административной ответственности соблюдены, административное наказание в виде штрафа снижено судом ниже низшего размера санкции нормы. Доводы жалобы были предметом исследования судов и получили исчерпывающую правовую оценку с учетом конкретных установленных обстоятельств, свидетельствующих об осуществлении обществом регулярных перевозок пассажиров без карты маршрута, не согласиться с которой по доводам жалобы оснований не имеется.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