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10.03.2021 в удовлетворении первоначальных исковых требований отказано, встречные исковые требования удовлетворены. Постановлением Девятого арбитражного апелляционного суда от 04.06.2021 решение суда первой инстанции отменено. С общества в пользу компании взыскано 111 223 855 руб. 32 коп., 539 405 руб. 31 коп. процентов за пользование чужими денежными средствами, проценты за пользование чужими денежными средствами в соответствии со статьей 395 Гражданского кодекса Российской Федерации, начисленные на сумму долга в размере 111 223 855 руб. 32 коп. с 07.07.2020 по дату фактического исполнения, 2 188 400 руб. расходов по уплате государственной пошлины. В удовлетворении остальной части первоначального и встречного исков отказано. Постановлением Арбитражного суда Московского округа от 28.10.2021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просит отменить их постановления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 об оказании консультационных услуг и дополнительного соглашения к нему, установив факт перечисления компанией в пользу общества денежных средств в размере 118 000 000 руб., отсутствие доказательств надлежащего оказания обществом услуг и несения им расходов в размере 46 282 104 руб. 32 коп., принимая во внимание отказ компании от исполнения договора и дополнительного соглашения, руководствуясь статьями 309, 310, 395, 779, 781, 782, 1102 Гражданского кодекса Российской Федерации, суд апелляционной инстанции пришел к выводу о наличии оснований для удовлетворения первоначальных исковых требований и обоснованности встречного иска в части взыскания 6 776 144 руб. 68 коп. расходов, понесенных на предприятие компании. Суд округа поддержал выводы суда апелляционной инстанции. Доводы кассационной жалобы не опровергают выводы судов апелляционной инстанции и округа,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«Бостон Консалтинг Груп»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