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18.03.2021, оставленным без изменения постановлением Четвертого арбитражного апелляционного суда от 17.06.2021 и постановлением Арбитражного суда Восточно-Сибирского округа от 28.10.2021, с общества в пользу Чащина С.В. взыскано 53 148 руб. 84 коп. процентов, 7000 руб. судебных расходов по оплате услуг представителя, 2126 руб. судебных расходов по оплате государственной пошлины, в удовлетворении остальной части требования о взыскании судебных расходов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Арбитражный суд Иркутской области.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Разрешая спор и удовлетворяя иск, суды первой и апелляционной инстанций, руководствуясь положениями статьи 395 Гражданского кодекса Российской Федерации, разъяснениями, изложенными в пунктах 37 и 57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исходили из того, что у общества имеется обязанность по уплате процентов, предусмотренных статьей 395 Гражданского кодекса Российской Федерации, со дня вступления в законную силу судебного акта, которым удовлетворено требование истца о взыскании убытков, до даты его фактического исполнения. Суд округа поддержал выводы судов первой и апелляционной инстанций. Приведенные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«ЕвроСибЭнерго-Гидрогенерация»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