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Забайкальского края от 09.02.2021, оставленным без изменения постановлением Четвертого арбитражного апелляционного суда от 26.07.2021 и постановлением Арбитражного суда Восточно-Сибирского округа от 29.10.2021, в удовлетворении заявления отказано. В кассационной жалобе банк просит об отмене судебных актов, ссылаясь на неправильную оценку договоров на предмет цели заключения, направленности умысла должника и взаимосвязанности.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заключения договоров дарения и признали их не создающими условий для недействительности сделки в силу пункта 2 статьи 61.2 Федерального закона от 26.10.2002 № 127-ФЗ «О несостоятельности (банкротстве)» и статей 10, 168, 170 Гражданского кодекса Российской Федерации. Обстоятельства доказывания и оценки доказательств, на которых основаны доводы жалобы о периоде возникновения неплатежеспособности должника, взаимосвязанности должника с одаряемым и последующим приобретателем имущества, разрешены судами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«Сбербанк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