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Башкортостан от 23.04.2021, оставленным без изменения постановлением Восемнадцатого арбитражного апелляционного суда от 13.07.2021 и постановлением Арбитражного суда Уральского округа от 18.10.2021, процедура реализации имущества гражданина завершена без применения в отношении должника правил об освобождении от дальнейшего исполнения требований кредиторов. В кассационной жалобе Морозова Л.В. просит о пересмотре судебных актов, ссылаясь на несоответствие выводов о недобросовестности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 исследованных обстоятельствах образования задолженности суды установили действия должника, не допускающие в силу пункта 4 статьи 213.28 Федерального закона от 26.10.2002 № 127-ФЗ «О несостоятельности (банкротстве)» освобождения от исполнения обязательств перед кредитором. Иная оценка заявителем своих действий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Морозовой Людмиле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