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27.05.2021, оставленным без изменения постановлением Девятого арбитражного апелляционного суда от 17.08.2021 и постановлением Арбитражного суда Московского округа от 18.11.2021, в удовлетворении иска отказано. В кассационной жалобе предприниматель просит о пересмотре судебных актов, ссылаясь на своевременное представление возражений в отношении недействительности акта и договора и неосновательное неприбегание суда к назначению экспертизы.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на основании состоявшегося ранее решения Арбитражного суда города Москвы по делу № А40-253029/2019 с предпринимателя взыскана задолженность за оказанные в рамках сложившихся на основании договора об оказании услуг от 10.09.2018 № СОЦ/18 правоотношений. Акт оказания услуг в силу статей 779, 781 Гражданского кодекса Российской Федерации является основанием возникновения обязанности по оплате услуг, следовательно, признание договора недействительным возложенную судом обязанность по оплате услуг с предпринимателя не слагает. Назначение экспертизы в рассматриваемом случае не является обязательным и в отсутствие ходатайства истца обсуждению не подлежало.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Бадиной С.В.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