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февраля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12.04.2021, оставленным без изменения постановлением Одиннадцатого арбитражного апелляционного суда от 11.08.2021, в удовлетворении заявленных требований отказано. Постановлением Арбитражного суда Поволжского округа от 08.11.2021 указанные судебные акты оставлены без изменения. Общество обратилось в Верховный Суд Российской Федерации с кассационной жалобой, в которой просит постановления судов апелляционной и кассационной инстанций отменить, решение суда первой инстанции оставить в силе. При рассмотрении доводов жалобы и принятых по делу судебных актов оснований для удовлетворения жалобы не установлено. Частью 1 статьи 14.16 Кодекса Российской Федерации об административных правонарушениях предусмотрена ответственность за розничную продажу этилового спирта, в том числе фармацевтической субстанции спирта этилового (этанола), или спиртосодержащих вкусоароматических биологически активных вкусовых добавок, или виноматериалов. Суд апелляционной инстанции, руководствуясь положениями Федерального закона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признал в действиях общества состав вмененного правонарушения, однако оставил решение суда первой инстанции без изменения, установив факт истечения срока давности привлечения к административной ответственности. Суд округа согласился с выводами суда апелляционной инстанции. 3 Выводы судов апелляционной и кассационной инстанций не противоречат правовой позиции, изложенной в пунктах 16 и 16.1 постановления Пленума Высшего Арбитражного Суда Российской Федерации от 02.06.2004 № 10 с учетом того, что действия юридического лица производны от действий их должностных лиц. Нарушений норм процессуального права, являющихся основанием для отмены судебных актов на основании части 4 статьи 270, части 4 статьи 288 Арбитражного процессуального кодекса Российской Федерации, не выявлено. Доводы жалобы свидетельствуют о несогласии с установленными судами обстоятельствами, а также оценкой имеющихся в материалах дела доказательств, что в силу статьи 291.6 Арбитражного процессуального кодекса Российской Федерации не свидетельствует о наличии оснований для пересмотра обжалуемых судебных актов в кассационном порядке. Существенных нарушений судами норм материального права, а также требований процессуального законодательства, повлиявших на исход судебного разбирательства, по доводам жалобы не установлено. На основании изложенного и руководствуясь статьями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