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08.04.2021, оставленным без изменения постановлением Девятого арбитражного апелляционного суда от 15.07.2021 и постановлением Арбитражного суда Московского округа от 25.10.2021, в удовлетворении заявления отказано. 2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от 30.09.2020 № 50/06/38425эп/20 в действиях учреждения при проведении открытого конкурса в электронной форме на выполнение работ по изготовлению высокофункциональных, высокотехнологичных протезов верхних конечностей для инвалидов в 2020 году установлено нарушение пункта 8 части 1 статьи 54.3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В целях устранения выявленного нарушения учреждению выдано предписание. Не согласившись с решением и предписанием антимонопольного органа, учреждение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пунктами 3, 10, 11 Правил оценки заявок, окончательных предложений участников закупки товаров, работ, услуг для обеспечения государственных и муниципальных нужд, утвержденных постановлением Правительства Российской Федерации от 28.11.2013 № 1085, пришли к выводу о том, что оспоренные ненормативные правовые акты соответствуют действующему законодательству и не нарушают права и законные интересы учреждения, с чем согласился суд округа. 3 Судебные инстанции исходили из того, что действия заказчика в части установления требований к участникам закупки о предоставлении в составе заявки исполненных участником закупки контрактов на выполнение работ по изготовлению протезов верхних конечностей исключительно в рамках Закона о контрактной системе нарушают положения пункта 8 части 1 статьи 54.3 Закона о контрактной системе (в редакции, действовавшей на момент проведения конкурса), приводят к ограничению свободного доступа участников, создают неравные условия, ставят в преимущественное положение хозяйствующих субъектов, имеющих опыт выполнения указанных работ для государственных нужд, перед хозяйствующими субъектами, которые такого опыта не имеют. Доводы учреждения,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Московскому областному региональному отделению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