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задолженности и неустойки по договору генерального подряда от 23.12.2019 № 23/12 в общем размере 11 670 731 рубль 97 копеек. Определением Арбитражного суда Московской области от 07.07.2021 заявление удовлетворено. Постановлением Десятого арбитражного апелляционного суда от 21.09.2021, оставленным без изменения постановлением Арбитражного суда Московского округа от 06.12.2021,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недоказанности реального (фактического) характера сделки, её экономической целесообразности и исполнения сторонами, включая самой возможности выполнения обществом подрядных работ в отсутствие у него для этого необходимых производственных ресурсов, в связи с чем обоснованно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«Корф»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