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13.02.2020 производство по первоначальному иску в части требований о взыскании 781 373 руб. 20 коп. прекращено, с Симочкиной М.М. в пользу Пруса В.А. взыскано 2 428 856 руб. 63 коп. долга, 68 707 руб. процентов, в удовлетворении остальной части первоначальных требований и в удовлетворении встречного иска отказано. Постановлением Четвертого арбитражного апелляционного суда от 09.07.2021 решение суда первой инстанции отменено в части удовлетворения первоначальных исковых требований. В отмененной части в удовлетворении требований Пруса В.А. отказано. В остальной части решение суда оставлено без изменения. Постановлением Арбитражного суда Восточно-Сибирского округа от 25.10.2021 постановление суда апелляционной инстанции оставлено без изменения. 2 В кассационной жалобе, поданной в Верховный Суд Российской Федерации, Прус В.А., ссылаясь на нарушение судами апелляционной инстанции и округа норм права,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отказывая в удовлетворении первоначальных исковых требований, суд апелляционной инстанции руководствовался статьями 209, 244, 247, 1102 Гражданского кодекса Российской Федерации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пришел к выводу о недоказанности истцом факта единоличного использования ответчиком общего имущества здания, принадлежащего сторонам на праве общей долевой собственности. Суд округа поддержал выводы апелляционного суда.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Пруса Вадима Александровича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