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дополнительного соглашения №1 к договору мены недвижимого имущества от 01.08.2017, заключенного между должником и Руфиным Андреем Викторовичем (далее – ответчик), применении последствий недействительности сделки в виде взыскания с ответчика в пользу должника 5 500 000 рублей основного долга, 1 225 788 рублей 46 копеек процентов за пользование чужими денежными средствами. Определением Арбитражного суда города Санкт-Петербурга и Ленинградской области от 29.04.2021, оставленным без изменения постановлениями Тринадцатого арбитражного апелляционного суда от 12.08.2021 и Арбитражного суда Северо-Западного округа от 07.12.2021,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Санкт – 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пунктами 1 и 2 статьи 61.2 Федерального закона от 26.10.2002 № 127-ФЗ «О несостоятельности (банкротстве)», пунктами 5,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исходя из конкретных фактических обстоятельств не установили совокупности условий для признания недействительной оспариваемой сделки по основаниям неравноценного встречного предоставления и причинения вреда имущественным права кредиторов.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«КАРПИ» Шаповалу Алексею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