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05.05.2021, оставленным без изменения постановлением Одиннадцатого арбитражного апелляционного суда от 05.07.2021, общество привлечено к административной ответственности по части 1 статьи 14.16 Кодекса Российской Федерации об административных правонарушениях, ему назначено наказание в виде штрафа в размере 200 000 рублей, изъятая продукция направлена на уничтожение. Постановлением Арбитражного суда Поволжского округа от 02.11.2021 указанные судебные акты оставлены без изменения. Общество «Агроторг» и общество «Сладости для радости» обратились в Верховный Суд Российской Федерации с кассационными жалобами, в которых просят состоявшиеся по делу судебные акты отменить, считая их принятыми с существенным нарушением норм материального и процессуального права. При рассмотрении доводов жалоб и принятых по делу судебных актов оснований для удовлетворения жалоб не установлено. Частью 1 статьи 14.16 Кодекса Российской Федерации об административных правонарушениях предусмотрена ответственность за розничную продажу этилового спирта, в том числе фармацевтической субстанции спирта этилового (этанола), или спиртосодержащих вкусоароматических биологически активных вкусовых добавок, или виноматериалов. Оценив представленные доказательства, руководствуясь положениями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действиях общества «Агроторг» состава 3 вмененного правонарушения, направив изъятую продукция на уничтожение в установленном порядке. Процедура и срок давности привлечения к административной ответственности соблюдены. Оснований для применения положений статей 2.9 и 4.1.1 Кодекса Российской Федерации об административных правонарушениях не установлено. Выводы судов не противоречат правовой позиции, изложенной в пунктах 16 и 16.1 постановления Пленума Высшего Арбитражного Суда Российской Федерации от 02.06.2004 № 10 с учетом того, что действия юридического лица производны от действий их должностных лиц. Нарушений норм процессуального права, являющихся основанием для отмены судебных актов на основании части 4 статьи 270, части 4 статьи 288 Арбитражного процессуального кодекса Российской Федерации, не выявлено. Доводы жалоб свидетельствуют о несогласии с установленными судами обстоятельствами, а также оценкой имеющихся в материалах дела доказательств, что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