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Челябинской области от 05.07.2021, оставленным без изменения постановлением Восемнадцатого арбитражного апелляционного суда от 10.09.2021, заявленное требование удовлетворено. 2 Постановлением Арбитражного суда Уральского округа от 06.12.2021 указанные судебные акты оставлены без изменения. Административный орган просит названные судебные акты отменить, считая их принятыми с нарушением норм материального и процессуального права.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Установив, что дело рассмотрено без участия законного представителя общества, в отсутствие доказательств надлежащего извещения его о рассмотрении материалов административного дела, суды, руководствуясь правовой позиции, изложенной в пункте 10 Постановления Пленума Высшего Арбитражного Суда Российской Федерации от 02.06.2004 № 10 «О некоторых вопросах, возникших в судебной практике при рассмотрении дел об административных правонарушениях», пришли к выводу о существенном нарушении административным органом порядка привлечения к административной ответственности, в связи с чем признали оспариваемое постановление незаконным и подлежащим отмене. Доводы жалобы направлены на переоценку доказательств и установление иных фактических обстоятельств дела, в связи с чем не могут служить основанием для передачи жалобы на рассмотрение Судебной коллегии Верховного Суда Российской Федерации.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2916, 2918 Арбитражного процессуального кодекса Российской Федерации, судья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