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27.05.2021, оставленным без изменения постановлением Тринадцатого арбитражного апелляционного суда от 05.08.2021 и постановлением Арбитражного суда Северо-Западного округа от 24.11.2021, исковые требования удовлетворены. В кассационной жалобе, поданной в Верховный Суд Российской Федерации, Нестеров А.В., ссылаясь на нарушение судами норм материального 2 и процессуального права, просит отменить указанные судебные акты и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принятых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пришли к выводу о том, что дефект двигателя внутреннего сгорания принадлежащего истцу транспортного средства произошел вследствие некачественно выполненных ответчиком ремонтных работ. Исходя из доказанности истцом совокупности условий, необходимых для взыскания с ответчика убытков, руководствуясь статьями 15, 393, 702, 711, 720, 721, 723 Гражданского кодекса Российской Федерации, суды удовлетворили исковые требования.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Нестерова Андрея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