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Ивановской области от 07.07.2021, оставленным без изменения постановлением Второго арбитражного апелляционного суда от 02.09.2021, в удовлетворении требований отказано. 2 Постановлением Арбитражного суда Волго-Вятского округа от 16.12.2021 указанные судебные акты оставлены без изменения. Общество в кассационной жалобе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2 статьи 14.13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13.192 настоящего Кодекса. Оценив представленные доказательства, руководствуясь положениями статей 161, 162 Жилищного кодекса Российской Федерации, Правил и норм технической эксплуатации жилищного фонда, утвержденных постановлением Госстроя Российской Федерации от 27.09.2003 № 170, суды пришли к выводу о наличии в действиях общества состава правонарушения, ответственность за совершение которого предусмотрена частью 2 статьи 14.13 Кодекса Российской Федерации об административных правонарушениях, установив факт осуществления обществом предпринимательской деятельности по управлению многоквартирными домами с нарушением лицензионных требований в части содержания общего имущества многоквартирных домов. Суды признали, что процедура и срок давности привлечения к ответственности соблюдены, оснований для применения статьи 2.9 Кодекса Российской Федерации об административных правонарушениях не выявлено. Штраф назначен ниже низшего размера санкции нормы. 3 Приведенные в жалобе доводы, идентичные изложенным в обоснование позиции заявителя при рассмотрении дела, подробно исследованы судами и им дана соответствующая правовая оценка. Существенных нарушений судами норм материального права, а также требований процессуального законодательства, повлиявших на исход судебного разбирательства, по доводам жалобы не установлено.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