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Липочкин А.В. (далее – кредитор) обратился в суд с жалобой на действия конкурсного управляющего должником Рогулина Константина Сергеевича по исключению из реестра требований кредиторов должника его требований в размере 2 480 106 рублей 68 копеек – основного долга, 1 780 000 рублей – неустойки. Определением Арбитражного суда города Москвы от 09.07.2021 жалоба удовлетворена. Постановлением Девятого арбитражного апелляционного суда от 08.09.2021, оставленным без изменения постановлением Арбитражного суда Московского округа от 30.11.2021, данное определение удовлетворено; в удовлетворении жалобы отказано.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20.3, 60, 129 Федерального закона от 26.10.2002 № 127-ФЗ «О несостоятельности (банкротстве)», исходили из установленных по делу обстоятельств погашения требований кредитора, в связи с чем отказали в удовлетворении его жалобы на действия конкурсного управляющего должником.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Липочкину Александру Васильевичу, арбитражному управляющему Мальцеву Матвею Александровичу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