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11.03.2021, оставленным без изменения постановлением Пятнадцатого арбитражного апелляционного суда от 15.07.2021, в удовлетворении требования отказано. 2 Постановлением Арбитражного суда Северо-Кавказского округа от 29.10.2021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послуживших основанием для занижения размера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3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установив, что сведения о транспортной составляющей в структуре заявленной декларантом таможенной стоимости товара не основаны на количественно определяемой и документально подтвержденной информации.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обстоятельствах, в том числе,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4 может являться основанием для отмены оспариваемых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