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процессуальной замене инспекции Федеральной налоговой службы № 18 по г. Москве (далее – уполномоченного органа) в реестре требований кредиторов должника с требованием в размере 60 000 000 рублей. Определением Арбитражного суда города Москвы от 21.12.2020, оставленным без изменения постановлениями Девятого арбитражного апелляционного суда от 28.05.2021 и Арбитражного суда Московского округа от 26.10.2021, отказано в удовлетворении заявления в полном объёме.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заявления на сумму 50 000 000 рублей,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48 Арбитражного процессуального кодекса Российской Федерации, статьи 382 Гражданского кодекса Российской Федерации, статьи 5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основаниям.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«НГДУ Приволжский»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