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региональная общественная организация Калининградской области «Общество защиты прав потребителей «СТАНДРАТ КАЧЕСТВА» (далее – кредитор) обратилась в суд с заявлением о привлечении солидарно Боталова Михаила Анатольевича, Голубицкой Марии Владимировны, Каплея Дмитрия Сергеевича, Нестеровой Марины Николаевны, Столяровой Натальи Андреевны, Фомичева С.В., Еремина Сергея Анатольевича, Бабкова Сергея Игоревича и Лысовой Анны Васильевны к субсидиарной ответственности. Решением Арбитражного суда Калининградской области от 08.04.2021, оставленным без изменения постановлением Тринадцатого арбитражного апелляционного суда от 05.07.2021, Еремин С.А., Боталов М.А., Фомичев С.В., Бабков С.И. и Цибульская Т.Д. привлечены к субсидиарной ответственности; с указанных лиц в порядке субсидиарной ответственности солидарно взыскано 4 272 719 рублей 76 копеек, а также 62 017 рублей расходов по уплате государственной пошлины. В удовлетворении остальной части заявления отказано. Постановлением Арбитражного суда Северо-Западного округа от 25.10.2021 данные судебные акты в части требований к Боталову М.А. отменены, в отменённой части в удовлетворении заявления отказано. В остальной части решение суда первой инстанции от 08.04.2021 и постановление апелляционного суда от 05.07.2021 оставлены в силе. 2 В кассационной жалобе, поданной в Верховный Суд Российской Федерации, заявитель просит отменить названные судебные акты в части привлечения его к субсидиарной ответственности и прекратить в этой части производство по делу.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Привлекая заявителя к субсидиарной ответственности, суды, руководствуясь пунктом 4 статьи 10 Федерального закона от 26.10.2002 № 127-ФЗ «О несостоятельности (банкротстве)», исходили из того, что являясь одним из руководителей и контролирующих должника лиц он лично и через представителей заключал убыточные для должника и причинившие вред его кредиторам сделки, действия по оформлению которых впоследствии признаны противоправными на основании решений суда общей юрисдикции. Выводы судов в обжалуемой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Фомичеву Сергею Валентиновичу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