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сделок по перечислению обществом с ограниченной ответственностью «Управляющая компания «Гелон» (далее – третье лицо) в период с 01.01.2014 по 28.09.2018 в пользу общества с ограниченной ответственностью «Март» в счёт исполнения обязательств должника денежных средств на общую сумму 29 923 700 рублей; применении последствий их недействительности. Определением Арбитражного суда Пермского края от 27.04.2021, оставленным без изменения постановлениями Семнадцатого арбитражного апелляционного суда от 21.07.2021 и постановлением Арбитражного суда Уральского округа от 27.10.2021,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его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пунктом 2 статьи 61.2 Федерального закона от 26.10.2002 № 127-ФЗ «О несостоятельности (банкротстве)», пунктами 5 –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заявителем совокупности условий для признания недействительными оспариваемых платежей, совершённых без злоупотребления правом и намерений причинить вред имущественным правам его кредиторов третьим лицом обществу за фактически выполненные для должника работы по содержанию, техническому обслуживанию и текущему ремонту жилищного фонда и придомовых территорий.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«Гелон» Маслохутдинову Илье Зуферовичу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