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процедуре распределения обнаруженного имущества ликвидированного юридического лица – общества с ограниченной ответственностью «ВятКамп» Департамент муниципальной собственности администрации города Киров (далее – департамент) обратился в суд с заявлением о включении в реестр требований кредиторов его требования в размере 425 356 рублей 97 копеек. Определением Арбитражного суда Республики Татарстан от 16.07.2021, оставленным без изменения постановлениями Одиннадцатого арбитражного апелляционного суда от 13.09.2021 и Арбитражного суда Поволжского округа от 23.11.2021, заявление удовлетворено в части.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Исходя из доводов кассационной жалобы, заявитель не согласна с обжалуемыми судебными актами в части удовлетворения заявления департамента.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 в обжалуемой части, суды, руководствуясь статьями 61 – 64, 454, 456, 457, 485, 488, 489 Гражданского кодекса Российской Федерации, пунктом 41 постановления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обязательств», пунктом 24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исходили из обоснованности части заявленных департаментом требований (периодические платежи по договору) и предъявления их части в пределах срока исковой давности.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Праздниковой Елене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