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3 статьи 18 Арбитражного процессуального кодекса Российской Федерации замена судьи возможна в случае длительного его отсутствия ввиду болезни, отпуска, пребывания на учебе, нахождения в служебной командировке. Как разъяснено в пункте 3.7 Постановления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Федерации», при наличии оснований для замены, предусмотренных частью 3 статьи 18 Арбитражного процессуального кодекса Российской Федерации, определение о замене судьи выносится председателем судебного состава (председателем судебной коллегии, председателем арбитражного суда) без проведения судебного заседания. В связи с длительным отсутствием судьи Завьяловой Т.В. по причине болезни кассационную жалобу следует передать другому судье. Руководствуясь статьями 18 , 184 Арбитражного процессуального кодекса Российской Федерации, председатель судебного состава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произвести замену судьи Завьяловой Т.В. на судью Першутова А.Г. по кассационному производству № 306-ЭС21-21754. Председатель третьего судебного состава,судья Верховного Суда Российской Федерации ФИО1 Суд: Верховный Суд РФ (подробнее) Судьи дела: Иваненко Ю.Г.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