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26.04.2021, оставленным без изменения постановлениями Первого арбитражного апелляционного суда от 07.07.2021 и Арбитражного суда Волго-Вятского округа от 28.10.2021, в удовлетворении заявления отказано. В кассационной жалобе общество ставит вопрос об отмене принятых по делу судебных актов, ссылаясь на существенное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за период с 01.01.2015 по 31.12.2017 инспекцией вынесено оспариваемое решение о привлечении к ответственности за совершение налогового правонарушения, налогоплательщику, в том числе предложено удержать неудержанный налог на доходы физических лиц (далее - НДФЛ) и перечислить его в бюджет в размере 11 837 405 рублей 97 копеек. Основанием для принятия решения в части НДФЛ послужил вывод налогового органа о том, что общество неправомерно не исчислило, не удержало и не перечислило в бюджет спорный налог с сумм выплат, произведенных работникам в качестве дополнительной компенсации за вредные условия труда, поскольку данные выплаты не носят компенсационный характер, а являются частью заработной платы. Решением Управления Федеральной налоговой службы по Нижегородской области от 22.06.2020 № 09-12/11213@, вынесенным по результатам рассмотрения жалобы общества, решение инспекции в части НДФЛ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11, 210, 217 Налогового кодекса Российской Федерации, статей 129, 147, 164 Трудового кодекса Российской Федерации, правовой позицией, изложенной в определении Конституционного Суда Российской Федерации от 05.03.2004 № 76-0, пункте 4 Обзора практики рассмотрения судами дел, связанных с применением главы 23 Налогового кодекса Российской Федерации, утвержденного Президиумом Верховного Суда Российской Федерации 21.10.2015, суды пришли к выводу об отсутствии оснований для удовлетворения заявления общества. Судебные инстанции исходили из того, что спорные выплаты не обладают признаками возмещения понесенных работниками расходов, подтвержденных документально, и входят в действующую в обществе систему оплаты труда, в связи с чем подлежат обложению НДФЛ. Доводы кассационной жалобы являлись предметом рассмотрения судов, получили надлежащую правовую оценку с учетом установленных 3 обстоятельств дела и мотивированно отклонены, основаны на неверном толковании норм материального права, не опровергают выводы судов. Существенного нарушения норм материального права, а также требований процессуального законодательства, повлиявших на исход судебного разбирательства, судами не допущено.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«Дзержинский мясокомбинат»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